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bookmarkStart w:id="0" w:name="_GoBack"/>
      <w:r w:rsidRPr="004B2370">
        <w:t>«Для исключения несчастных случаев, связанных с использованием газового оборудования всем собственникам газифицированных домов и квартир необходимо заключить договора на техническое обслуживание внутридомового газового оборудования (</w:t>
      </w:r>
      <w:proofErr w:type="gramStart"/>
      <w:r w:rsidRPr="004B2370">
        <w:t>далее ТО</w:t>
      </w:r>
      <w:proofErr w:type="gramEnd"/>
      <w:r w:rsidRPr="004B2370">
        <w:t xml:space="preserve"> ВДГО) и внутриквартирного газового оборудования (далее ТО ВКГО).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ab/>
        <w:t xml:space="preserve"> Минимальный выполняемый перечень работ по ТО ВДГО и ТО ВКГО утвержден постановлением Правительства РФ № 410 от 14.05.2013 года «О мерах по обеспечению безопасности при использовании и содержании внутридомового и внутриквартирного газового оборудования и включает в себя: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визуальную проверку целостности и соответствия нормативным требованиям (осмотр) внутридомового и (или) внутриквартирного газового оборудования;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визуальную проверку наличия свободного доступа (осмотр) к внутридомовому и (или) внутриквартирному газовому оборудованию;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визуальную проверку состояния окраски и крепления газопровода (осмотр);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визуальную проверку наличия и целостности футляров в местах прокладки через наружные и внутренние конструкции многоквартирных домов и домовладений (осмотр);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 xml:space="preserve">- проверку герметичности соединений и отключающих устройств (приборный метод, </w:t>
      </w:r>
      <w:proofErr w:type="spellStart"/>
      <w:r w:rsidRPr="004B2370">
        <w:t>обмыливание</w:t>
      </w:r>
      <w:proofErr w:type="spellEnd"/>
      <w:r w:rsidRPr="004B2370">
        <w:t>);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проверку работоспособности и смазка отключающих устройств;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разборку и смазку кранов;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проверку работоспособности устройств, позволяющих автоматически отключать подачу газа при отклонении контролирующих параметров за допустимые пределы, ее наладку и регулировку;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регулировку процесса сжигания газа на всех режимах работы, очистку горелок от загрязнений;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проверку давления газа перед газоиспользующим оборудованием при всех работающих горелках и после прекращения подачи газа;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замену баллонов для сжиженных углеводородных газов;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>- проверку наличия тяги в дымовых и вентиляционных каналах, состояние соединительных труб с дымовым каналом;</w:t>
      </w:r>
    </w:p>
    <w:p w:rsidR="00D2694E" w:rsidRPr="004B2370" w:rsidRDefault="00D2694E" w:rsidP="00D2694E">
      <w:pPr>
        <w:spacing w:line="240" w:lineRule="atLeast"/>
        <w:ind w:right="-1"/>
        <w:contextualSpacing/>
        <w:jc w:val="both"/>
      </w:pPr>
      <w:r w:rsidRPr="004B2370">
        <w:t xml:space="preserve">- инструктаж потребителей газа  по безопасному использованию газа при удовлетворении коммунально - бытовых нужд. </w:t>
      </w:r>
    </w:p>
    <w:p w:rsidR="00D2694E" w:rsidRPr="004B2370" w:rsidRDefault="00D2694E" w:rsidP="00D2694E">
      <w:pPr>
        <w:jc w:val="both"/>
      </w:pPr>
      <w:r w:rsidRPr="004B2370">
        <w:tab/>
        <w:t>Стоимость услуг по ТО ВДГО определяется на основании «Прейскуранта на оказание услуг по техническому обслуживанию и ремонту газораспределительных систем «АО Газпром газораспределение Волгоград».</w:t>
      </w:r>
    </w:p>
    <w:p w:rsidR="00D2694E" w:rsidRPr="004B2370" w:rsidRDefault="00D2694E" w:rsidP="00D2694E">
      <w:pPr>
        <w:jc w:val="both"/>
      </w:pPr>
      <w:r w:rsidRPr="004B2370">
        <w:tab/>
        <w:t>Расчет расценок прейскуранта основан на трудоемкости работ, состава исполнителей, установленной часовой тарифной ставки, процента накладных расходов к фонду оплаты труда по данным работам и нормы прибыльности, а так же с учетом коэффициента удаленности объекта заявителя от расположения газового участка.</w:t>
      </w:r>
    </w:p>
    <w:p w:rsidR="00D2694E" w:rsidRPr="004B2370" w:rsidRDefault="00D2694E" w:rsidP="00D2694E">
      <w:pPr>
        <w:jc w:val="both"/>
      </w:pPr>
      <w:r w:rsidRPr="004B2370">
        <w:tab/>
        <w:t>Прейскурант цен на оказание услуг по техническому обслуживанию и ремонту газораспределительных систем АО «Газпром газораспределение Волгоград», в т.ч. МГП «</w:t>
      </w:r>
      <w:proofErr w:type="spellStart"/>
      <w:r w:rsidRPr="004B2370">
        <w:t>Котельниковское</w:t>
      </w:r>
      <w:proofErr w:type="spellEnd"/>
      <w:r w:rsidRPr="004B2370">
        <w:t xml:space="preserve">» находится в общем доступе на сайте Общества: </w:t>
      </w:r>
      <w:hyperlink r:id="rId4" w:history="1">
        <w:r w:rsidRPr="004B2370">
          <w:rPr>
            <w:color w:val="0000FF"/>
            <w:u w:val="single"/>
            <w:lang w:val="en-US"/>
          </w:rPr>
          <w:t>www</w:t>
        </w:r>
        <w:r w:rsidRPr="004B2370">
          <w:rPr>
            <w:color w:val="0000FF"/>
            <w:u w:val="single"/>
          </w:rPr>
          <w:t>.34</w:t>
        </w:r>
        <w:proofErr w:type="spellStart"/>
        <w:r w:rsidRPr="004B2370">
          <w:rPr>
            <w:color w:val="0000FF"/>
            <w:u w:val="single"/>
            <w:lang w:val="en-US"/>
          </w:rPr>
          <w:t>gaz</w:t>
        </w:r>
        <w:proofErr w:type="spellEnd"/>
        <w:r w:rsidRPr="004B2370">
          <w:rPr>
            <w:color w:val="0000FF"/>
            <w:u w:val="single"/>
          </w:rPr>
          <w:t>.</w:t>
        </w:r>
        <w:proofErr w:type="spellStart"/>
        <w:r w:rsidRPr="004B2370">
          <w:rPr>
            <w:color w:val="0000FF"/>
            <w:u w:val="single"/>
            <w:lang w:val="en-US"/>
          </w:rPr>
          <w:t>ru</w:t>
        </w:r>
        <w:proofErr w:type="spellEnd"/>
      </w:hyperlink>
    </w:p>
    <w:bookmarkEnd w:id="0"/>
    <w:p w:rsidR="00A36FB1" w:rsidRPr="004B2370" w:rsidRDefault="00A36FB1"/>
    <w:sectPr w:rsidR="00A36FB1" w:rsidRPr="004B2370" w:rsidSect="0018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20328"/>
    <w:rsid w:val="001871AB"/>
    <w:rsid w:val="004B2370"/>
    <w:rsid w:val="00820328"/>
    <w:rsid w:val="00A36FB1"/>
    <w:rsid w:val="00D2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4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Администрация</cp:lastModifiedBy>
  <cp:revision>4</cp:revision>
  <dcterms:created xsi:type="dcterms:W3CDTF">2019-11-22T05:42:00Z</dcterms:created>
  <dcterms:modified xsi:type="dcterms:W3CDTF">2019-11-25T05:19:00Z</dcterms:modified>
</cp:coreProperties>
</file>